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13" w:rsidRPr="00C52213" w:rsidRDefault="00C52213" w:rsidP="00C52213">
      <w:pPr>
        <w:pStyle w:val="Normlnywebov"/>
        <w:spacing w:before="0" w:beforeAutospacing="0" w:after="0" w:afterAutospacing="0" w:line="300" w:lineRule="atLeast"/>
        <w:textAlignment w:val="baseline"/>
        <w:rPr>
          <w:rStyle w:val="Siln"/>
          <w:rFonts w:ascii="Arial" w:hAnsi="Arial" w:cs="Arial"/>
          <w:color w:val="1C1C1C"/>
          <w:bdr w:val="none" w:sz="0" w:space="0" w:color="auto" w:frame="1"/>
        </w:rPr>
      </w:pPr>
      <w:r w:rsidRPr="00C52213">
        <w:rPr>
          <w:rStyle w:val="Siln"/>
          <w:rFonts w:ascii="Arial" w:hAnsi="Arial" w:cs="Arial"/>
          <w:color w:val="1C1C1C"/>
          <w:bdr w:val="none" w:sz="0" w:space="0" w:color="auto" w:frame="1"/>
        </w:rPr>
        <w:t>Význam spoločenskej zmluvy</w:t>
      </w:r>
      <w:r w:rsidRPr="00C52213">
        <w:rPr>
          <w:rStyle w:val="apple-converted-space"/>
          <w:rFonts w:ascii="Arial" w:hAnsi="Arial" w:cs="Arial"/>
          <w:color w:val="363636"/>
        </w:rPr>
        <w:t> </w:t>
      </w:r>
      <w:r w:rsidRPr="00C52213">
        <w:rPr>
          <w:rStyle w:val="Siln"/>
          <w:rFonts w:ascii="Arial" w:hAnsi="Arial" w:cs="Arial"/>
          <w:color w:val="1C1C1C"/>
          <w:bdr w:val="none" w:sz="0" w:space="0" w:color="auto" w:frame="1"/>
        </w:rPr>
        <w:t>v obchodnej korporácii</w:t>
      </w:r>
    </w:p>
    <w:p w:rsidR="00C52213" w:rsidRDefault="00C52213" w:rsidP="00C52213">
      <w:pPr>
        <w:pStyle w:val="Normlnywebov"/>
        <w:spacing w:before="0" w:beforeAutospacing="0" w:after="0" w:afterAutospacing="0" w:line="300" w:lineRule="atLeast"/>
        <w:textAlignment w:val="baseline"/>
        <w:rPr>
          <w:rStyle w:val="Siln"/>
          <w:rFonts w:ascii="Arial" w:hAnsi="Arial" w:cs="Arial"/>
          <w:color w:val="1C1C1C"/>
          <w:sz w:val="18"/>
          <w:szCs w:val="18"/>
          <w:bdr w:val="none" w:sz="0" w:space="0" w:color="auto" w:frame="1"/>
        </w:rPr>
      </w:pPr>
    </w:p>
    <w:p w:rsidR="00C52213" w:rsidRDefault="00C52213" w:rsidP="00C52213">
      <w:pPr>
        <w:pStyle w:val="Normlnywebov"/>
        <w:spacing w:before="0" w:beforeAutospacing="0" w:after="0" w:afterAutospacing="0" w:line="300" w:lineRule="atLeast"/>
        <w:textAlignment w:val="baseline"/>
        <w:rPr>
          <w:rStyle w:val="Siln"/>
          <w:rFonts w:ascii="Arial" w:hAnsi="Arial" w:cs="Arial"/>
          <w:color w:val="1C1C1C"/>
          <w:sz w:val="18"/>
          <w:szCs w:val="18"/>
          <w:bdr w:val="none" w:sz="0" w:space="0" w:color="auto" w:frame="1"/>
        </w:rPr>
      </w:pPr>
      <w:r>
        <w:rPr>
          <w:rStyle w:val="Siln"/>
          <w:rFonts w:ascii="Arial" w:hAnsi="Arial" w:cs="Arial"/>
          <w:color w:val="1C1C1C"/>
          <w:sz w:val="18"/>
          <w:szCs w:val="18"/>
          <w:bdr w:val="none" w:sz="0" w:space="0" w:color="auto" w:frame="1"/>
        </w:rPr>
        <w:t xml:space="preserve">JUDr. Dušan </w:t>
      </w:r>
      <w:proofErr w:type="spellStart"/>
      <w:r>
        <w:rPr>
          <w:rStyle w:val="Siln"/>
          <w:rFonts w:ascii="Arial" w:hAnsi="Arial" w:cs="Arial"/>
          <w:color w:val="1C1C1C"/>
          <w:sz w:val="18"/>
          <w:szCs w:val="18"/>
          <w:bdr w:val="none" w:sz="0" w:space="0" w:color="auto" w:frame="1"/>
        </w:rPr>
        <w:t>Čurila</w:t>
      </w:r>
      <w:proofErr w:type="spellEnd"/>
      <w:r>
        <w:rPr>
          <w:rStyle w:val="Siln"/>
          <w:rFonts w:ascii="Arial" w:hAnsi="Arial" w:cs="Arial"/>
          <w:color w:val="1C1C1C"/>
          <w:sz w:val="18"/>
          <w:szCs w:val="18"/>
          <w:bdr w:val="none" w:sz="0" w:space="0" w:color="auto" w:frame="1"/>
        </w:rPr>
        <w:t xml:space="preserve">, </w:t>
      </w:r>
      <w:proofErr w:type="spellStart"/>
      <w:r>
        <w:rPr>
          <w:rStyle w:val="Siln"/>
          <w:rFonts w:ascii="Arial" w:hAnsi="Arial" w:cs="Arial"/>
          <w:color w:val="1C1C1C"/>
          <w:sz w:val="18"/>
          <w:szCs w:val="18"/>
          <w:bdr w:val="none" w:sz="0" w:space="0" w:color="auto" w:frame="1"/>
        </w:rPr>
        <w:t>Ph.D</w:t>
      </w:r>
      <w:proofErr w:type="spellEnd"/>
      <w:r>
        <w:rPr>
          <w:rStyle w:val="Siln"/>
          <w:rFonts w:ascii="Arial" w:hAnsi="Arial" w:cs="Arial"/>
          <w:color w:val="1C1C1C"/>
          <w:sz w:val="18"/>
          <w:szCs w:val="18"/>
          <w:bdr w:val="none" w:sz="0" w:space="0" w:color="auto" w:frame="1"/>
        </w:rPr>
        <w:t>.</w:t>
      </w:r>
    </w:p>
    <w:p w:rsidR="00C52213" w:rsidRDefault="00C52213" w:rsidP="00C52213">
      <w:pPr>
        <w:pStyle w:val="Normlnywebov"/>
        <w:spacing w:before="0" w:beforeAutospacing="0" w:after="0" w:afterAutospacing="0" w:line="300" w:lineRule="atLeast"/>
        <w:textAlignment w:val="baseline"/>
        <w:rPr>
          <w:rFonts w:ascii="Arial" w:hAnsi="Arial" w:cs="Arial"/>
          <w:color w:val="363636"/>
          <w:sz w:val="18"/>
          <w:szCs w:val="18"/>
        </w:rPr>
      </w:pPr>
    </w:p>
    <w:p w:rsidR="00C52213" w:rsidRDefault="00C52213" w:rsidP="00C52213">
      <w:pPr>
        <w:pStyle w:val="Normlnywebov"/>
        <w:spacing w:before="0" w:beforeAutospacing="0" w:after="0" w:afterAutospacing="0" w:line="300" w:lineRule="atLeast"/>
        <w:jc w:val="both"/>
        <w:textAlignment w:val="baseline"/>
        <w:rPr>
          <w:rFonts w:ascii="Arial" w:hAnsi="Arial" w:cs="Arial"/>
          <w:color w:val="363636"/>
          <w:sz w:val="18"/>
          <w:szCs w:val="18"/>
        </w:rPr>
      </w:pPr>
      <w:r>
        <w:rPr>
          <w:rFonts w:ascii="Arial" w:hAnsi="Arial" w:cs="Arial"/>
          <w:color w:val="363636"/>
          <w:sz w:val="18"/>
          <w:szCs w:val="18"/>
        </w:rPr>
        <w:t>Kto disponuje väčšou mierou účasti, má spravidla aj väčšiu šancu presadiť v spoločnosti svoje ciele. Toto pravidlo však nie je absolútne, keďže v praxi jestvujú aj také prípady, keď síce spoločník disponuje kvantitatívnou väčšinou (51%), no fakticky môže byť pri dôležitých rozhodnutiach blokovaný menši</w:t>
      </w:r>
      <w:bookmarkStart w:id="0" w:name="_GoBack"/>
      <w:bookmarkEnd w:id="0"/>
      <w:r>
        <w:rPr>
          <w:rFonts w:ascii="Arial" w:hAnsi="Arial" w:cs="Arial"/>
          <w:color w:val="363636"/>
          <w:sz w:val="18"/>
          <w:szCs w:val="18"/>
        </w:rPr>
        <w:t xml:space="preserve">novým spoločníkom (49%). Typickým príkladom takejto situácie bolo spoločnícke portfólio v Slovenskom plynárenskom priemysle, </w:t>
      </w:r>
      <w:proofErr w:type="spellStart"/>
      <w:r>
        <w:rPr>
          <w:rFonts w:ascii="Arial" w:hAnsi="Arial" w:cs="Arial"/>
          <w:color w:val="363636"/>
          <w:sz w:val="18"/>
          <w:szCs w:val="18"/>
        </w:rPr>
        <w:t>a.s</w:t>
      </w:r>
      <w:proofErr w:type="spellEnd"/>
      <w:r>
        <w:rPr>
          <w:rFonts w:ascii="Arial" w:hAnsi="Arial" w:cs="Arial"/>
          <w:color w:val="363636"/>
          <w:sz w:val="18"/>
          <w:szCs w:val="18"/>
        </w:rPr>
        <w:t>.,  kde 49%-</w:t>
      </w:r>
      <w:proofErr w:type="spellStart"/>
      <w:r>
        <w:rPr>
          <w:rFonts w:ascii="Arial" w:hAnsi="Arial" w:cs="Arial"/>
          <w:color w:val="363636"/>
          <w:sz w:val="18"/>
          <w:szCs w:val="18"/>
        </w:rPr>
        <w:t>ný</w:t>
      </w:r>
      <w:proofErr w:type="spellEnd"/>
      <w:r>
        <w:rPr>
          <w:rFonts w:ascii="Arial" w:hAnsi="Arial" w:cs="Arial"/>
          <w:color w:val="363636"/>
          <w:sz w:val="18"/>
          <w:szCs w:val="18"/>
        </w:rPr>
        <w:t xml:space="preserve"> podielom disponovali investori z Francúzska a Nemecka. Bolo by odvážne nazvať pomer slovenského a zahraničného investora v SPP za interný spor, keďže sa jedná v podstate o iskrenie spôsobené politikou. Na tomto prípade sa však dá pomerne dobre ilustrovať aké dôležité je správne vyprofilovať práva a povinnosti pri vstupe investorov do spoločnosti v jej spoločenských dokumentoch a investorských zmluvách. V prípade SPP má väčšinový spoločník obmedzené práva pri obsadzovaní členov dozornej rady, zmeny spoločenských dokumentov a pod. Takéto formulácie nie sú v žiadnom prípade zakázané, sú len legálne využitými možnosťami, ktoré zákonodarca vymedzil.</w:t>
      </w:r>
    </w:p>
    <w:p w:rsidR="00C52213" w:rsidRDefault="00C52213" w:rsidP="00C52213">
      <w:pPr>
        <w:pStyle w:val="Normlnywebov"/>
        <w:spacing w:before="0" w:beforeAutospacing="0" w:after="0" w:afterAutospacing="0" w:line="300" w:lineRule="atLeast"/>
        <w:jc w:val="both"/>
        <w:textAlignment w:val="baseline"/>
        <w:rPr>
          <w:rFonts w:ascii="Arial" w:hAnsi="Arial" w:cs="Arial"/>
          <w:color w:val="363636"/>
          <w:sz w:val="18"/>
          <w:szCs w:val="18"/>
        </w:rPr>
      </w:pPr>
      <w:r>
        <w:rPr>
          <w:rFonts w:ascii="Arial" w:hAnsi="Arial" w:cs="Arial"/>
          <w:color w:val="363636"/>
          <w:sz w:val="18"/>
          <w:szCs w:val="18"/>
        </w:rPr>
        <w:t xml:space="preserve">Pri interných sporoch môže dochádzať jednak k zablokovaniu funkčnosti spoločnosti a na druhej strane k šikanóznemu výkonu hlasovacieho práva. Pri tejto druhej spomenutej situácii sa spoločníci disponujúci potrebnou väčšinou hlasov snažia donútiť menšinového spoločníka, aby previedol svoj obchodný podiel na iného spoločníka, alebo tretiu osobu mimo spoločnosť. Odolnejší jedinci však dokážu buď aktívne vzdorovať za cenu súdnych sporov alebo pasívne trpieť do tej miery, že sa z nich stanú tzv. spiaci spoločníci (subjekty, ktoré absentujú na výkon svojich práv a povinnosti si plnia len do tej miery, aby nezadali podnet ostatným spoločníkom na ich sankcionovanie). Skutočný význam spiacich spoločníkov však dokážu v praxi využiť len poniektorí komercialisti.  </w:t>
      </w:r>
    </w:p>
    <w:p w:rsidR="007D472A" w:rsidRDefault="007D472A" w:rsidP="00C52213">
      <w:pPr>
        <w:jc w:val="both"/>
      </w:pPr>
    </w:p>
    <w:sectPr w:rsidR="007D4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9"/>
    <w:rsid w:val="00186919"/>
    <w:rsid w:val="007D472A"/>
    <w:rsid w:val="00C52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A4C5-E5F2-4BFF-B1C9-FED4B7C7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5221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52213"/>
    <w:rPr>
      <w:b/>
      <w:bCs/>
    </w:rPr>
  </w:style>
  <w:style w:type="character" w:customStyle="1" w:styleId="apple-converted-space">
    <w:name w:val="apple-converted-space"/>
    <w:basedOn w:val="Predvolenpsmoodseku"/>
    <w:rsid w:val="00C5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Čurilová</dc:creator>
  <cp:keywords/>
  <dc:description/>
  <cp:lastModifiedBy>Anna Čurilová</cp:lastModifiedBy>
  <cp:revision>3</cp:revision>
  <dcterms:created xsi:type="dcterms:W3CDTF">2015-09-14T05:54:00Z</dcterms:created>
  <dcterms:modified xsi:type="dcterms:W3CDTF">2015-09-14T05:55:00Z</dcterms:modified>
</cp:coreProperties>
</file>